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ECD5" w14:textId="6AF9B877" w:rsidR="0075301E" w:rsidRPr="00757C99" w:rsidRDefault="00757C99" w:rsidP="00757C99">
      <w:pPr>
        <w:jc w:val="center"/>
        <w:rPr>
          <w:b/>
          <w:sz w:val="28"/>
          <w:szCs w:val="28"/>
        </w:rPr>
      </w:pPr>
      <w:r w:rsidRPr="00757C99">
        <w:rPr>
          <w:b/>
          <w:sz w:val="28"/>
          <w:szCs w:val="28"/>
        </w:rPr>
        <w:t>Catch-Up Premium Plan</w:t>
      </w:r>
      <w:r w:rsidR="00844437">
        <w:rPr>
          <w:b/>
          <w:sz w:val="28"/>
          <w:szCs w:val="28"/>
        </w:rPr>
        <w:t>/ School-led tutoring grant</w:t>
      </w:r>
    </w:p>
    <w:p w14:paraId="30C97FB8" w14:textId="77777777" w:rsidR="0075301E" w:rsidRDefault="00757C99" w:rsidP="00757C99">
      <w:pPr>
        <w:jc w:val="center"/>
        <w:rPr>
          <w:b/>
          <w:sz w:val="36"/>
          <w:szCs w:val="36"/>
        </w:rPr>
      </w:pPr>
      <w:proofErr w:type="gramStart"/>
      <w:r w:rsidRPr="00757C99">
        <w:rPr>
          <w:b/>
          <w:sz w:val="28"/>
          <w:szCs w:val="28"/>
        </w:rPr>
        <w:t>Rossmore  School</w:t>
      </w:r>
      <w:proofErr w:type="gramEnd"/>
    </w:p>
    <w:p w14:paraId="3D35959A" w14:textId="77777777" w:rsidR="0075301E" w:rsidRDefault="0075301E">
      <w:pPr>
        <w:spacing w:after="240"/>
        <w:rPr>
          <w:b/>
          <w:color w:val="FFFFFF"/>
          <w:sz w:val="12"/>
          <w:szCs w:val="12"/>
        </w:rPr>
      </w:pP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75301E" w14:paraId="16423DA4" w14:textId="77777777" w:rsidTr="008A522E">
        <w:tc>
          <w:tcPr>
            <w:tcW w:w="15417" w:type="dxa"/>
            <w:gridSpan w:val="6"/>
            <w:shd w:val="clear" w:color="auto" w:fill="C0504D" w:themeFill="accent2"/>
            <w:tcMar>
              <w:top w:w="57" w:type="dxa"/>
              <w:bottom w:w="57" w:type="dxa"/>
            </w:tcMar>
          </w:tcPr>
          <w:p w14:paraId="4BB91407" w14:textId="77777777" w:rsidR="0075301E" w:rsidRDefault="00757C99">
            <w:pPr>
              <w:rPr>
                <w:b/>
                <w:color w:val="FFFFFF"/>
                <w:sz w:val="24"/>
                <w:szCs w:val="24"/>
              </w:rPr>
            </w:pPr>
            <w:r>
              <w:rPr>
                <w:b/>
                <w:color w:val="FFFFFF"/>
                <w:sz w:val="24"/>
                <w:szCs w:val="24"/>
              </w:rPr>
              <w:t>Summary information</w:t>
            </w:r>
          </w:p>
        </w:tc>
      </w:tr>
      <w:tr w:rsidR="0075301E" w14:paraId="4CF723A0" w14:textId="77777777">
        <w:tc>
          <w:tcPr>
            <w:tcW w:w="2660" w:type="dxa"/>
            <w:tcMar>
              <w:top w:w="57" w:type="dxa"/>
              <w:bottom w:w="57" w:type="dxa"/>
            </w:tcMar>
          </w:tcPr>
          <w:p w14:paraId="0643820A" w14:textId="77777777" w:rsidR="0075301E" w:rsidRDefault="00757C99">
            <w:pPr>
              <w:rPr>
                <w:b/>
              </w:rPr>
            </w:pPr>
            <w:r>
              <w:rPr>
                <w:b/>
              </w:rPr>
              <w:t>School</w:t>
            </w:r>
          </w:p>
        </w:tc>
        <w:tc>
          <w:tcPr>
            <w:tcW w:w="12757" w:type="dxa"/>
            <w:gridSpan w:val="5"/>
            <w:tcMar>
              <w:top w:w="57" w:type="dxa"/>
              <w:bottom w:w="57" w:type="dxa"/>
            </w:tcMar>
          </w:tcPr>
          <w:p w14:paraId="66E07BB8" w14:textId="77777777" w:rsidR="0075301E" w:rsidRDefault="00757C99">
            <w:r>
              <w:t>Rossmore School</w:t>
            </w:r>
          </w:p>
        </w:tc>
      </w:tr>
      <w:tr w:rsidR="0075301E" w14:paraId="6556AE04" w14:textId="77777777">
        <w:trPr>
          <w:trHeight w:val="326"/>
        </w:trPr>
        <w:tc>
          <w:tcPr>
            <w:tcW w:w="2660" w:type="dxa"/>
            <w:tcMar>
              <w:top w:w="57" w:type="dxa"/>
              <w:bottom w:w="57" w:type="dxa"/>
            </w:tcMar>
          </w:tcPr>
          <w:p w14:paraId="401E8C8A" w14:textId="77777777" w:rsidR="0075301E" w:rsidRDefault="00757C99">
            <w:pPr>
              <w:rPr>
                <w:b/>
              </w:rPr>
            </w:pPr>
            <w:r>
              <w:rPr>
                <w:b/>
              </w:rPr>
              <w:t>Academic Year</w:t>
            </w:r>
          </w:p>
        </w:tc>
        <w:tc>
          <w:tcPr>
            <w:tcW w:w="1276" w:type="dxa"/>
            <w:tcMar>
              <w:top w:w="57" w:type="dxa"/>
              <w:bottom w:w="57" w:type="dxa"/>
            </w:tcMar>
          </w:tcPr>
          <w:p w14:paraId="6F0254AF" w14:textId="66889FC6" w:rsidR="0075301E" w:rsidRDefault="009319E7">
            <w:r>
              <w:t>2021-22</w:t>
            </w:r>
          </w:p>
        </w:tc>
        <w:tc>
          <w:tcPr>
            <w:tcW w:w="3632" w:type="dxa"/>
          </w:tcPr>
          <w:p w14:paraId="4777B383" w14:textId="565CFED8" w:rsidR="0075301E" w:rsidRDefault="00757C99">
            <w:pPr>
              <w:rPr>
                <w:highlight w:val="yellow"/>
              </w:rPr>
            </w:pPr>
            <w:r>
              <w:rPr>
                <w:b/>
              </w:rPr>
              <w:t>Total Catch-Up Premium</w:t>
            </w:r>
            <w:r w:rsidR="00167385">
              <w:rPr>
                <w:b/>
              </w:rPr>
              <w:t xml:space="preserve"> </w:t>
            </w:r>
          </w:p>
        </w:tc>
        <w:tc>
          <w:tcPr>
            <w:tcW w:w="1471" w:type="dxa"/>
          </w:tcPr>
          <w:p w14:paraId="562E7ED5" w14:textId="2C5F9682" w:rsidR="0075301E" w:rsidRDefault="008F7D27">
            <w:pPr>
              <w:rPr>
                <w:color w:val="000000"/>
              </w:rPr>
            </w:pPr>
            <w:r>
              <w:t>£</w:t>
            </w:r>
            <w:r w:rsidR="00115D38">
              <w:t>16,605</w:t>
            </w:r>
          </w:p>
        </w:tc>
        <w:tc>
          <w:tcPr>
            <w:tcW w:w="4819" w:type="dxa"/>
          </w:tcPr>
          <w:p w14:paraId="50C48DD7" w14:textId="77777777" w:rsidR="0075301E" w:rsidRDefault="00757C99">
            <w:r>
              <w:rPr>
                <w:b/>
              </w:rPr>
              <w:t>Number of pupils</w:t>
            </w:r>
          </w:p>
        </w:tc>
        <w:tc>
          <w:tcPr>
            <w:tcW w:w="1559" w:type="dxa"/>
          </w:tcPr>
          <w:p w14:paraId="1F82507E" w14:textId="01EA0E2D" w:rsidR="0075301E" w:rsidRDefault="00844437">
            <w:r>
              <w:t>179</w:t>
            </w:r>
          </w:p>
        </w:tc>
      </w:tr>
    </w:tbl>
    <w:p w14:paraId="495EAACA" w14:textId="77777777" w:rsidR="0075301E" w:rsidRDefault="0075301E">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75301E" w14:paraId="37991D93" w14:textId="77777777" w:rsidTr="008A522E">
        <w:trPr>
          <w:trHeight w:val="225"/>
        </w:trPr>
        <w:tc>
          <w:tcPr>
            <w:tcW w:w="15412" w:type="dxa"/>
            <w:gridSpan w:val="2"/>
            <w:shd w:val="clear" w:color="auto" w:fill="C0504D" w:themeFill="accent2"/>
            <w:tcMar>
              <w:top w:w="57" w:type="dxa"/>
              <w:bottom w:w="57" w:type="dxa"/>
            </w:tcMar>
          </w:tcPr>
          <w:p w14:paraId="4FCAF155" w14:textId="77777777" w:rsidR="0075301E" w:rsidRDefault="00757C99">
            <w:pPr>
              <w:spacing w:after="120"/>
              <w:rPr>
                <w:color w:val="FFFFFF"/>
                <w:sz w:val="24"/>
                <w:szCs w:val="24"/>
              </w:rPr>
            </w:pPr>
            <w:r>
              <w:rPr>
                <w:b/>
                <w:color w:val="FFFFFF"/>
                <w:sz w:val="24"/>
                <w:szCs w:val="24"/>
              </w:rPr>
              <w:t>Guidance</w:t>
            </w:r>
          </w:p>
        </w:tc>
      </w:tr>
      <w:tr w:rsidR="0075301E" w14:paraId="0DF58E76" w14:textId="77777777">
        <w:trPr>
          <w:trHeight w:val="755"/>
        </w:trPr>
        <w:tc>
          <w:tcPr>
            <w:tcW w:w="15412" w:type="dxa"/>
            <w:gridSpan w:val="2"/>
            <w:tcMar>
              <w:top w:w="57" w:type="dxa"/>
              <w:bottom w:w="57" w:type="dxa"/>
            </w:tcMar>
          </w:tcPr>
          <w:p w14:paraId="41192C41" w14:textId="3336FF5A" w:rsidR="009319E7" w:rsidRPr="009319E7" w:rsidRDefault="009319E7" w:rsidP="009319E7">
            <w:pPr>
              <w:shd w:val="clear" w:color="auto" w:fill="FFFFFF"/>
              <w:spacing w:before="300" w:after="300"/>
              <w:rPr>
                <w:rFonts w:asciiTheme="minorHAnsi" w:eastAsia="Times New Roman" w:hAnsiTheme="minorHAnsi" w:cstheme="minorHAnsi"/>
                <w:color w:val="0B0C0C"/>
                <w:szCs w:val="29"/>
                <w:lang w:eastAsia="en-GB"/>
              </w:rPr>
            </w:pPr>
            <w:r w:rsidRPr="009319E7">
              <w:rPr>
                <w:rFonts w:asciiTheme="minorHAnsi" w:eastAsia="Times New Roman" w:hAnsiTheme="minorHAnsi" w:cstheme="minorHAnsi"/>
                <w:color w:val="0B0C0C"/>
                <w:szCs w:val="29"/>
                <w:lang w:eastAsia="en-GB"/>
              </w:rPr>
              <w:t>In June 2020 the government announced £1 billion of funding to support children and young people to catch up on missed learning caused by coronavirus (COVID19). This is especially important for the most vulnerable pupils and pupils from disadvantaged backgrounds who we know have been most affected. This funding includes:</w:t>
            </w:r>
          </w:p>
          <w:p w14:paraId="7DC39AF1" w14:textId="77777777" w:rsidR="009319E7" w:rsidRPr="009319E7" w:rsidRDefault="009319E7" w:rsidP="009319E7">
            <w:pPr>
              <w:numPr>
                <w:ilvl w:val="0"/>
                <w:numId w:val="9"/>
              </w:numPr>
              <w:shd w:val="clear" w:color="auto" w:fill="FFFFFF"/>
              <w:spacing w:after="75"/>
              <w:rPr>
                <w:rFonts w:asciiTheme="minorHAnsi" w:eastAsia="Times New Roman" w:hAnsiTheme="minorHAnsi" w:cstheme="minorHAnsi"/>
                <w:color w:val="0B0C0C"/>
                <w:szCs w:val="29"/>
                <w:lang w:eastAsia="en-GB"/>
              </w:rPr>
            </w:pPr>
            <w:r w:rsidRPr="009319E7">
              <w:rPr>
                <w:rFonts w:asciiTheme="minorHAnsi" w:eastAsia="Times New Roman" w:hAnsiTheme="minorHAnsi" w:cstheme="minorHAnsi"/>
                <w:color w:val="0B0C0C"/>
                <w:szCs w:val="29"/>
                <w:lang w:eastAsia="en-GB"/>
              </w:rPr>
              <w:t>a one-off universal £650 million catch-up premium for the 2020 to 2021 academic year to ensure that schools have the support they need to help all pupils make up for missed learning</w:t>
            </w:r>
          </w:p>
          <w:p w14:paraId="541C0DE1" w14:textId="77777777" w:rsidR="009319E7" w:rsidRPr="009319E7" w:rsidRDefault="009319E7" w:rsidP="009319E7">
            <w:pPr>
              <w:numPr>
                <w:ilvl w:val="0"/>
                <w:numId w:val="9"/>
              </w:numPr>
              <w:shd w:val="clear" w:color="auto" w:fill="FFFFFF"/>
              <w:spacing w:after="75"/>
              <w:rPr>
                <w:rFonts w:asciiTheme="minorHAnsi" w:eastAsia="Times New Roman" w:hAnsiTheme="minorHAnsi" w:cstheme="minorHAnsi"/>
                <w:color w:val="0B0C0C"/>
                <w:szCs w:val="29"/>
                <w:lang w:eastAsia="en-GB"/>
              </w:rPr>
            </w:pPr>
            <w:r w:rsidRPr="009319E7">
              <w:rPr>
                <w:rFonts w:asciiTheme="minorHAnsi" w:eastAsia="Times New Roman" w:hAnsiTheme="minorHAnsi" w:cstheme="minorHAnsi"/>
                <w:color w:val="0B0C0C"/>
                <w:szCs w:val="29"/>
                <w:lang w:eastAsia="en-GB"/>
              </w:rPr>
              <w:t>a £350 million </w:t>
            </w:r>
            <w:hyperlink r:id="rId8" w:history="1">
              <w:r w:rsidRPr="009319E7">
                <w:rPr>
                  <w:rFonts w:asciiTheme="minorHAnsi" w:eastAsia="Times New Roman" w:hAnsiTheme="minorHAnsi" w:cstheme="minorHAnsi"/>
                  <w:color w:val="1D70B8"/>
                  <w:szCs w:val="29"/>
                  <w:u w:val="single"/>
                  <w:lang w:eastAsia="en-GB"/>
                </w:rPr>
                <w:t>National Tutoring Programme</w:t>
              </w:r>
            </w:hyperlink>
            <w:r w:rsidRPr="009319E7">
              <w:rPr>
                <w:rFonts w:asciiTheme="minorHAnsi" w:eastAsia="Times New Roman" w:hAnsiTheme="minorHAnsi" w:cstheme="minorHAnsi"/>
                <w:color w:val="0B0C0C"/>
                <w:szCs w:val="29"/>
                <w:lang w:eastAsia="en-GB"/>
              </w:rPr>
              <w:t> to provide additional, targeted support for those children and young people who need the most help, which includes:</w:t>
            </w:r>
          </w:p>
          <w:p w14:paraId="534D542B" w14:textId="5FEEFA6F" w:rsidR="009319E7" w:rsidRPr="009319E7" w:rsidRDefault="009319E7" w:rsidP="009319E7">
            <w:pPr>
              <w:pStyle w:val="ListParagraph"/>
              <w:numPr>
                <w:ilvl w:val="0"/>
                <w:numId w:val="9"/>
              </w:numPr>
              <w:shd w:val="clear" w:color="auto" w:fill="FFFFFF"/>
              <w:spacing w:after="75"/>
              <w:rPr>
                <w:rFonts w:asciiTheme="minorHAnsi" w:eastAsia="Times New Roman" w:hAnsiTheme="minorHAnsi" w:cstheme="minorHAnsi"/>
                <w:color w:val="0B0C0C"/>
                <w:szCs w:val="29"/>
                <w:lang w:eastAsia="en-GB"/>
              </w:rPr>
            </w:pPr>
            <w:r w:rsidRPr="009319E7">
              <w:rPr>
                <w:rFonts w:asciiTheme="minorHAnsi" w:eastAsia="Times New Roman" w:hAnsiTheme="minorHAnsi" w:cstheme="minorHAnsi"/>
                <w:color w:val="0B0C0C"/>
                <w:szCs w:val="29"/>
                <w:lang w:eastAsia="en-GB"/>
              </w:rPr>
              <w:t xml:space="preserve">a </w:t>
            </w:r>
            <w:proofErr w:type="gramStart"/>
            <w:r w:rsidRPr="009319E7">
              <w:rPr>
                <w:rFonts w:asciiTheme="minorHAnsi" w:eastAsia="Times New Roman" w:hAnsiTheme="minorHAnsi" w:cstheme="minorHAnsi"/>
                <w:color w:val="0B0C0C"/>
                <w:szCs w:val="29"/>
                <w:lang w:eastAsia="en-GB"/>
              </w:rPr>
              <w:t>schools</w:t>
            </w:r>
            <w:proofErr w:type="gramEnd"/>
            <w:r w:rsidRPr="009319E7">
              <w:rPr>
                <w:rFonts w:asciiTheme="minorHAnsi" w:eastAsia="Times New Roman" w:hAnsiTheme="minorHAnsi" w:cstheme="minorHAnsi"/>
                <w:color w:val="0B0C0C"/>
                <w:szCs w:val="29"/>
                <w:lang w:eastAsia="en-GB"/>
              </w:rPr>
              <w:t xml:space="preserve"> programme for 5 to 16-year-olds</w:t>
            </w:r>
          </w:p>
          <w:p w14:paraId="1441833F" w14:textId="77777777" w:rsidR="009319E7" w:rsidRPr="009319E7" w:rsidRDefault="009319E7" w:rsidP="009319E7">
            <w:pPr>
              <w:numPr>
                <w:ilvl w:val="0"/>
                <w:numId w:val="9"/>
              </w:numPr>
              <w:shd w:val="clear" w:color="auto" w:fill="FFFFFF"/>
              <w:spacing w:after="75"/>
              <w:rPr>
                <w:rFonts w:asciiTheme="minorHAnsi" w:hAnsiTheme="minorHAnsi" w:cstheme="minorHAnsi"/>
                <w:szCs w:val="29"/>
              </w:rPr>
            </w:pPr>
            <w:r w:rsidRPr="009319E7">
              <w:rPr>
                <w:rFonts w:asciiTheme="minorHAnsi" w:hAnsiTheme="minorHAnsi" w:cstheme="minorHAnsi"/>
                <w:szCs w:val="29"/>
              </w:rPr>
              <w:t>a </w:t>
            </w:r>
            <w:hyperlink r:id="rId9" w:history="1">
              <w:r w:rsidRPr="009319E7">
                <w:rPr>
                  <w:rStyle w:val="Hyperlink"/>
                  <w:rFonts w:asciiTheme="minorHAnsi" w:hAnsiTheme="minorHAnsi" w:cstheme="minorHAnsi"/>
                  <w:color w:val="auto"/>
                  <w:szCs w:val="29"/>
                  <w:u w:val="none"/>
                </w:rPr>
                <w:t xml:space="preserve">16 to 19 tuition </w:t>
              </w:r>
              <w:proofErr w:type="gramStart"/>
              <w:r w:rsidRPr="009319E7">
                <w:rPr>
                  <w:rStyle w:val="Hyperlink"/>
                  <w:rFonts w:asciiTheme="minorHAnsi" w:hAnsiTheme="minorHAnsi" w:cstheme="minorHAnsi"/>
                  <w:color w:val="auto"/>
                  <w:szCs w:val="29"/>
                  <w:u w:val="none"/>
                </w:rPr>
                <w:t>fund</w:t>
              </w:r>
              <w:proofErr w:type="gramEnd"/>
            </w:hyperlink>
          </w:p>
          <w:p w14:paraId="3054CEFF" w14:textId="3B947CED" w:rsidR="009319E7" w:rsidRDefault="009319E7" w:rsidP="009319E7">
            <w:pPr>
              <w:numPr>
                <w:ilvl w:val="0"/>
                <w:numId w:val="9"/>
              </w:numPr>
              <w:shd w:val="clear" w:color="auto" w:fill="FFFFFF"/>
              <w:spacing w:after="75"/>
              <w:rPr>
                <w:rFonts w:asciiTheme="minorHAnsi" w:hAnsiTheme="minorHAnsi" w:cstheme="minorHAnsi"/>
                <w:szCs w:val="29"/>
              </w:rPr>
            </w:pPr>
            <w:r w:rsidRPr="009319E7">
              <w:rPr>
                <w:rFonts w:asciiTheme="minorHAnsi" w:hAnsiTheme="minorHAnsi" w:cstheme="minorHAnsi"/>
                <w:szCs w:val="29"/>
              </w:rPr>
              <w:t>an oral language intervention programme for </w:t>
            </w:r>
            <w:hyperlink r:id="rId10" w:history="1">
              <w:r w:rsidRPr="009319E7">
                <w:rPr>
                  <w:rStyle w:val="Hyperlink"/>
                  <w:rFonts w:asciiTheme="minorHAnsi" w:hAnsiTheme="minorHAnsi" w:cstheme="minorHAnsi"/>
                  <w:color w:val="auto"/>
                  <w:szCs w:val="29"/>
                  <w:u w:val="none"/>
                </w:rPr>
                <w:t>reception-aged children</w:t>
              </w:r>
            </w:hyperlink>
          </w:p>
          <w:p w14:paraId="6E0A4CE3" w14:textId="25E1BB35" w:rsidR="009319E7" w:rsidRDefault="009319E7" w:rsidP="009319E7">
            <w:pPr>
              <w:shd w:val="clear" w:color="auto" w:fill="FFFFFF"/>
              <w:spacing w:after="75"/>
              <w:rPr>
                <w:rFonts w:asciiTheme="minorHAnsi" w:hAnsiTheme="minorHAnsi" w:cstheme="minorHAnsi"/>
                <w:szCs w:val="29"/>
              </w:rPr>
            </w:pPr>
            <w:r>
              <w:rPr>
                <w:rFonts w:asciiTheme="minorHAnsi" w:hAnsiTheme="minorHAnsi" w:cstheme="minorHAnsi"/>
                <w:szCs w:val="29"/>
              </w:rPr>
              <w:t xml:space="preserve">As a school we have decided to focus on a tutoring program which takes place within the normal school hours provided primarily by an experienced teacher who will deliver small group tutoring. </w:t>
            </w:r>
          </w:p>
          <w:p w14:paraId="5FD7B00D" w14:textId="195796EF" w:rsidR="009319E7" w:rsidRDefault="009319E7" w:rsidP="009319E7">
            <w:pPr>
              <w:shd w:val="clear" w:color="auto" w:fill="FFFFFF"/>
              <w:spacing w:after="75"/>
              <w:rPr>
                <w:rFonts w:asciiTheme="minorHAnsi" w:hAnsiTheme="minorHAnsi" w:cstheme="minorHAnsi"/>
                <w:szCs w:val="29"/>
              </w:rPr>
            </w:pPr>
            <w:r>
              <w:rPr>
                <w:rFonts w:asciiTheme="minorHAnsi" w:hAnsiTheme="minorHAnsi" w:cstheme="minorHAnsi"/>
                <w:szCs w:val="29"/>
              </w:rPr>
              <w:t xml:space="preserve">In accordance with the DFE guidance the following practices will take place at Rossmore School: </w:t>
            </w:r>
          </w:p>
          <w:p w14:paraId="289233C6" w14:textId="77777777" w:rsidR="009319E7" w:rsidRPr="009319E7" w:rsidRDefault="009319E7" w:rsidP="009319E7">
            <w:pPr>
              <w:pStyle w:val="ListParagraph"/>
              <w:numPr>
                <w:ilvl w:val="0"/>
                <w:numId w:val="13"/>
              </w:numPr>
              <w:spacing w:after="160" w:line="259" w:lineRule="auto"/>
              <w:contextualSpacing/>
              <w:rPr>
                <w:rFonts w:asciiTheme="minorHAnsi" w:hAnsiTheme="minorHAnsi" w:cstheme="minorHAnsi"/>
                <w:lang w:val="en-US"/>
              </w:rPr>
            </w:pPr>
            <w:r w:rsidRPr="009319E7">
              <w:rPr>
                <w:rFonts w:asciiTheme="minorHAnsi" w:hAnsiTheme="minorHAnsi" w:cstheme="minorHAnsi"/>
                <w:lang w:val="en-US"/>
              </w:rPr>
              <w:t xml:space="preserve">Any tutoring that takes place in core lesson periods is planned with the pupil’s class teacher and follows the same subject and a similar format and outcome but with tailored support and focused tutoring on individual and group needs. </w:t>
            </w:r>
          </w:p>
          <w:p w14:paraId="0BD90761" w14:textId="77777777" w:rsidR="009319E7" w:rsidRPr="009319E7" w:rsidRDefault="009319E7" w:rsidP="009319E7">
            <w:pPr>
              <w:pStyle w:val="ListParagraph"/>
              <w:numPr>
                <w:ilvl w:val="0"/>
                <w:numId w:val="13"/>
              </w:numPr>
              <w:spacing w:after="160" w:line="259" w:lineRule="auto"/>
              <w:contextualSpacing/>
              <w:rPr>
                <w:rFonts w:asciiTheme="minorHAnsi" w:hAnsiTheme="minorHAnsi" w:cstheme="minorHAnsi"/>
                <w:lang w:val="en-US"/>
              </w:rPr>
            </w:pPr>
            <w:r w:rsidRPr="009319E7">
              <w:rPr>
                <w:rFonts w:asciiTheme="minorHAnsi" w:hAnsiTheme="minorHAnsi" w:cstheme="minorHAnsi"/>
                <w:lang w:val="en-US"/>
              </w:rPr>
              <w:t xml:space="preserve">Any tutoring that takes place at other times of day is discussed with class teachers to avoid too much disruption and/ or rotation so that they do not miss the same lessons all of the time. </w:t>
            </w:r>
          </w:p>
          <w:p w14:paraId="7B192035" w14:textId="034B5768" w:rsidR="0075301E" w:rsidRPr="009319E7" w:rsidRDefault="009319E7" w:rsidP="009319E7">
            <w:pPr>
              <w:pStyle w:val="ListParagraph"/>
              <w:numPr>
                <w:ilvl w:val="0"/>
                <w:numId w:val="13"/>
              </w:numPr>
              <w:spacing w:after="160" w:line="259" w:lineRule="auto"/>
              <w:contextualSpacing/>
              <w:rPr>
                <w:rFonts w:asciiTheme="minorHAnsi" w:hAnsiTheme="minorHAnsi" w:cstheme="minorHAnsi"/>
                <w:lang w:val="en-US"/>
              </w:rPr>
            </w:pPr>
            <w:r w:rsidRPr="009319E7">
              <w:rPr>
                <w:rFonts w:asciiTheme="minorHAnsi" w:hAnsiTheme="minorHAnsi" w:cstheme="minorHAnsi"/>
                <w:lang w:val="en-US"/>
              </w:rPr>
              <w:t>Regular conversations, often daily, between tutors and class teachers take place to offer some flexibility i</w:t>
            </w:r>
            <w:r w:rsidR="001B4172">
              <w:rPr>
                <w:rFonts w:asciiTheme="minorHAnsi" w:hAnsiTheme="minorHAnsi" w:cstheme="minorHAnsi"/>
                <w:lang w:val="en-US"/>
              </w:rPr>
              <w:t xml:space="preserve">n our tutoring program so that </w:t>
            </w:r>
            <w:r w:rsidRPr="009319E7">
              <w:rPr>
                <w:rFonts w:asciiTheme="minorHAnsi" w:hAnsiTheme="minorHAnsi" w:cstheme="minorHAnsi"/>
                <w:lang w:val="en-US"/>
              </w:rPr>
              <w:t xml:space="preserve">it meets the needs of the pupils.  </w:t>
            </w:r>
          </w:p>
        </w:tc>
      </w:tr>
      <w:tr w:rsidR="0075301E" w14:paraId="3F655CAA" w14:textId="77777777" w:rsidTr="008A522E">
        <w:trPr>
          <w:trHeight w:val="332"/>
        </w:trPr>
        <w:tc>
          <w:tcPr>
            <w:tcW w:w="7706" w:type="dxa"/>
            <w:shd w:val="clear" w:color="auto" w:fill="C0504D" w:themeFill="accent2"/>
            <w:tcMar>
              <w:top w:w="57" w:type="dxa"/>
              <w:bottom w:w="57" w:type="dxa"/>
            </w:tcMar>
          </w:tcPr>
          <w:p w14:paraId="20670C6D" w14:textId="7E5A9B5B" w:rsidR="0075301E" w:rsidRDefault="00F63104">
            <w:pPr>
              <w:rPr>
                <w:color w:val="FFFFFF"/>
                <w:sz w:val="24"/>
                <w:szCs w:val="24"/>
              </w:rPr>
            </w:pPr>
            <w:r>
              <w:rPr>
                <w:b/>
                <w:color w:val="FFFFFF"/>
                <w:sz w:val="24"/>
                <w:szCs w:val="24"/>
              </w:rPr>
              <w:t>Funding received</w:t>
            </w:r>
          </w:p>
        </w:tc>
        <w:tc>
          <w:tcPr>
            <w:tcW w:w="7706" w:type="dxa"/>
            <w:shd w:val="clear" w:color="auto" w:fill="C0504D" w:themeFill="accent2"/>
          </w:tcPr>
          <w:p w14:paraId="2C5476FC" w14:textId="77777777" w:rsidR="0075301E" w:rsidRDefault="00757C99">
            <w:pPr>
              <w:rPr>
                <w:b/>
                <w:color w:val="FFFFFF"/>
                <w:sz w:val="24"/>
                <w:szCs w:val="24"/>
              </w:rPr>
            </w:pPr>
            <w:r>
              <w:rPr>
                <w:b/>
                <w:color w:val="FFFFFF"/>
                <w:sz w:val="24"/>
                <w:szCs w:val="24"/>
              </w:rPr>
              <w:t>EEF Recommendations</w:t>
            </w:r>
          </w:p>
        </w:tc>
      </w:tr>
      <w:tr w:rsidR="0075301E" w14:paraId="7F6C1E48" w14:textId="77777777">
        <w:trPr>
          <w:trHeight w:val="755"/>
        </w:trPr>
        <w:tc>
          <w:tcPr>
            <w:tcW w:w="7706" w:type="dxa"/>
            <w:tcMar>
              <w:top w:w="57" w:type="dxa"/>
              <w:bottom w:w="57" w:type="dxa"/>
            </w:tcMar>
          </w:tcPr>
          <w:p w14:paraId="47CE724D" w14:textId="6D56EA1A" w:rsidR="00F63104" w:rsidRDefault="00F63104" w:rsidP="00F63104"/>
          <w:p w14:paraId="5603C33F" w14:textId="64CAB522" w:rsidR="00F63104" w:rsidRDefault="00F63104" w:rsidP="00F63104">
            <w:r>
              <w:t>DFE contribution (75% of cost. Cost is provided for 60% of our PP list which is 24 out of 40 children for 15 hours tuition x £13.50)</w:t>
            </w:r>
            <w:r>
              <w:tab/>
              <w:t xml:space="preserve">              </w:t>
            </w:r>
          </w:p>
          <w:p w14:paraId="69662878" w14:textId="13AD35F6" w:rsidR="00F63104" w:rsidRDefault="00F63104" w:rsidP="00F63104">
            <w:r>
              <w:lastRenderedPageBreak/>
              <w:t>School Contribution (25% of cost. As above - calculated for 60% of our PP list which is 24 out of 40 children for 15 hours tuition x £4.50)</w:t>
            </w:r>
          </w:p>
          <w:p w14:paraId="0BD961F8" w14:textId="77777777" w:rsidR="00F63104" w:rsidRPr="00F63104" w:rsidRDefault="00F63104" w:rsidP="00F63104">
            <w:pPr>
              <w:rPr>
                <w:b/>
              </w:rPr>
            </w:pPr>
          </w:p>
          <w:p w14:paraId="3FF11549" w14:textId="77777777" w:rsidR="00262184" w:rsidRDefault="00F63104" w:rsidP="00F63104">
            <w:pPr>
              <w:rPr>
                <w:b/>
              </w:rPr>
            </w:pPr>
            <w:r w:rsidRPr="00F63104">
              <w:rPr>
                <w:b/>
              </w:rPr>
              <w:t>Total received</w:t>
            </w:r>
          </w:p>
          <w:p w14:paraId="33B667B7" w14:textId="77777777" w:rsidR="00262184" w:rsidRDefault="00262184" w:rsidP="00262184"/>
          <w:tbl>
            <w:tblPr>
              <w:tblStyle w:val="TableGrid"/>
              <w:tblW w:w="0" w:type="auto"/>
              <w:tblLayout w:type="fixed"/>
              <w:tblLook w:val="04A0" w:firstRow="1" w:lastRow="0" w:firstColumn="1" w:lastColumn="0" w:noHBand="0" w:noVBand="1"/>
            </w:tblPr>
            <w:tblGrid>
              <w:gridCol w:w="988"/>
              <w:gridCol w:w="1581"/>
              <w:gridCol w:w="1962"/>
              <w:gridCol w:w="1701"/>
            </w:tblGrid>
            <w:tr w:rsidR="00262184" w14:paraId="365C7BF9" w14:textId="77777777" w:rsidTr="005D2C32">
              <w:tc>
                <w:tcPr>
                  <w:tcW w:w="988" w:type="dxa"/>
                </w:tcPr>
                <w:p w14:paraId="77B5A926" w14:textId="77777777" w:rsidR="00262184" w:rsidRDefault="00262184" w:rsidP="00262184"/>
              </w:tc>
              <w:tc>
                <w:tcPr>
                  <w:tcW w:w="3543" w:type="dxa"/>
                  <w:gridSpan w:val="2"/>
                </w:tcPr>
                <w:p w14:paraId="0F271690" w14:textId="77777777" w:rsidR="00262184" w:rsidRDefault="00262184" w:rsidP="00262184">
                  <w:r>
                    <w:t>Income</w:t>
                  </w:r>
                </w:p>
              </w:tc>
              <w:tc>
                <w:tcPr>
                  <w:tcW w:w="1701" w:type="dxa"/>
                </w:tcPr>
                <w:p w14:paraId="69993A3F" w14:textId="77777777" w:rsidR="00262184" w:rsidRDefault="00262184" w:rsidP="00262184">
                  <w:pPr>
                    <w:jc w:val="center"/>
                  </w:pPr>
                  <w:r>
                    <w:t>Expenditure</w:t>
                  </w:r>
                </w:p>
              </w:tc>
            </w:tr>
            <w:tr w:rsidR="00262184" w14:paraId="33F56130" w14:textId="77777777" w:rsidTr="00262184">
              <w:tc>
                <w:tcPr>
                  <w:tcW w:w="988" w:type="dxa"/>
                </w:tcPr>
                <w:p w14:paraId="150CC751" w14:textId="77777777" w:rsidR="00262184" w:rsidRDefault="00262184" w:rsidP="00262184"/>
              </w:tc>
              <w:tc>
                <w:tcPr>
                  <w:tcW w:w="1581" w:type="dxa"/>
                </w:tcPr>
                <w:p w14:paraId="26472952" w14:textId="77777777" w:rsidR="00262184" w:rsidRDefault="00262184" w:rsidP="00262184">
                  <w:r>
                    <w:t>DFE</w:t>
                  </w:r>
                </w:p>
              </w:tc>
              <w:tc>
                <w:tcPr>
                  <w:tcW w:w="1962" w:type="dxa"/>
                </w:tcPr>
                <w:p w14:paraId="1308FFCA" w14:textId="77777777" w:rsidR="00262184" w:rsidRDefault="00262184" w:rsidP="00262184">
                  <w:r>
                    <w:t>Recommended school contribution</w:t>
                  </w:r>
                </w:p>
              </w:tc>
              <w:tc>
                <w:tcPr>
                  <w:tcW w:w="1701" w:type="dxa"/>
                </w:tcPr>
                <w:p w14:paraId="5B49A96B" w14:textId="77777777" w:rsidR="00262184" w:rsidRDefault="00262184" w:rsidP="00262184">
                  <w:r>
                    <w:t>Termly costs</w:t>
                  </w:r>
                </w:p>
              </w:tc>
            </w:tr>
            <w:tr w:rsidR="00262184" w14:paraId="339DDCC3" w14:textId="77777777" w:rsidTr="00262184">
              <w:tc>
                <w:tcPr>
                  <w:tcW w:w="988" w:type="dxa"/>
                </w:tcPr>
                <w:p w14:paraId="679E36D1" w14:textId="77777777" w:rsidR="00262184" w:rsidRDefault="00262184" w:rsidP="00262184">
                  <w:r>
                    <w:t>Autumn</w:t>
                  </w:r>
                </w:p>
              </w:tc>
              <w:tc>
                <w:tcPr>
                  <w:tcW w:w="1581" w:type="dxa"/>
                </w:tcPr>
                <w:p w14:paraId="3BA9DB99" w14:textId="77777777" w:rsidR="00262184" w:rsidRDefault="00262184" w:rsidP="00262184">
                  <w:r>
                    <w:t>£4,860</w:t>
                  </w:r>
                </w:p>
              </w:tc>
              <w:tc>
                <w:tcPr>
                  <w:tcW w:w="1962" w:type="dxa"/>
                </w:tcPr>
                <w:p w14:paraId="7E5A5718" w14:textId="77777777" w:rsidR="00262184" w:rsidRDefault="00262184" w:rsidP="00262184">
                  <w:r>
                    <w:t>£1,620</w:t>
                  </w:r>
                </w:p>
              </w:tc>
              <w:tc>
                <w:tcPr>
                  <w:tcW w:w="1701" w:type="dxa"/>
                </w:tcPr>
                <w:p w14:paraId="6ACC1DBD" w14:textId="77777777" w:rsidR="00262184" w:rsidRDefault="00262184" w:rsidP="00262184">
                  <w:r>
                    <w:t>£7,812.50</w:t>
                  </w:r>
                </w:p>
              </w:tc>
            </w:tr>
            <w:tr w:rsidR="00262184" w14:paraId="0C9BA6B9" w14:textId="77777777" w:rsidTr="00262184">
              <w:tc>
                <w:tcPr>
                  <w:tcW w:w="988" w:type="dxa"/>
                </w:tcPr>
                <w:p w14:paraId="4A2AFD7B" w14:textId="77777777" w:rsidR="00262184" w:rsidRDefault="00262184" w:rsidP="00262184">
                  <w:r>
                    <w:t>Spring</w:t>
                  </w:r>
                </w:p>
              </w:tc>
              <w:tc>
                <w:tcPr>
                  <w:tcW w:w="1581" w:type="dxa"/>
                </w:tcPr>
                <w:p w14:paraId="6E4B2CF3" w14:textId="77777777" w:rsidR="00262184" w:rsidRDefault="00262184" w:rsidP="00262184">
                  <w:r>
                    <w:t>£4,860</w:t>
                  </w:r>
                </w:p>
              </w:tc>
              <w:tc>
                <w:tcPr>
                  <w:tcW w:w="1962" w:type="dxa"/>
                </w:tcPr>
                <w:p w14:paraId="55085B3D" w14:textId="77777777" w:rsidR="00262184" w:rsidRDefault="00262184" w:rsidP="00262184">
                  <w:r>
                    <w:t>£1,620</w:t>
                  </w:r>
                </w:p>
              </w:tc>
              <w:tc>
                <w:tcPr>
                  <w:tcW w:w="1701" w:type="dxa"/>
                </w:tcPr>
                <w:p w14:paraId="3CA121D4" w14:textId="77777777" w:rsidR="00262184" w:rsidRDefault="00262184" w:rsidP="00262184">
                  <w:r>
                    <w:t>£3607.50</w:t>
                  </w:r>
                </w:p>
              </w:tc>
            </w:tr>
            <w:tr w:rsidR="00262184" w14:paraId="5BA5F82F" w14:textId="77777777" w:rsidTr="00262184">
              <w:tc>
                <w:tcPr>
                  <w:tcW w:w="988" w:type="dxa"/>
                </w:tcPr>
                <w:p w14:paraId="4A57BF7A" w14:textId="77777777" w:rsidR="00262184" w:rsidRDefault="00262184" w:rsidP="00262184">
                  <w:r>
                    <w:t>Summer</w:t>
                  </w:r>
                </w:p>
              </w:tc>
              <w:tc>
                <w:tcPr>
                  <w:tcW w:w="1581" w:type="dxa"/>
                </w:tcPr>
                <w:p w14:paraId="235994F9" w14:textId="77777777" w:rsidR="00262184" w:rsidRDefault="00262184" w:rsidP="00262184">
                  <w:r>
                    <w:t>£6,885</w:t>
                  </w:r>
                </w:p>
              </w:tc>
              <w:tc>
                <w:tcPr>
                  <w:tcW w:w="1962" w:type="dxa"/>
                </w:tcPr>
                <w:p w14:paraId="3EB4CC47" w14:textId="77777777" w:rsidR="00262184" w:rsidRDefault="00262184" w:rsidP="00262184">
                  <w:r>
                    <w:t>£2,295</w:t>
                  </w:r>
                </w:p>
              </w:tc>
              <w:tc>
                <w:tcPr>
                  <w:tcW w:w="1701" w:type="dxa"/>
                </w:tcPr>
                <w:p w14:paraId="390DA5FF" w14:textId="77777777" w:rsidR="00262184" w:rsidRDefault="00262184" w:rsidP="00262184">
                  <w:r>
                    <w:t>£5212.05</w:t>
                  </w:r>
                </w:p>
              </w:tc>
            </w:tr>
            <w:tr w:rsidR="00262184" w14:paraId="0884828E" w14:textId="77777777" w:rsidTr="00262184">
              <w:tc>
                <w:tcPr>
                  <w:tcW w:w="988" w:type="dxa"/>
                </w:tcPr>
                <w:p w14:paraId="092F0708" w14:textId="77777777" w:rsidR="00262184" w:rsidRDefault="00262184" w:rsidP="00262184">
                  <w:r>
                    <w:t>Total</w:t>
                  </w:r>
                </w:p>
              </w:tc>
              <w:tc>
                <w:tcPr>
                  <w:tcW w:w="1581" w:type="dxa"/>
                </w:tcPr>
                <w:p w14:paraId="6C2D7D38" w14:textId="77777777" w:rsidR="00262184" w:rsidRDefault="00262184" w:rsidP="00262184">
                  <w:r>
                    <w:t>£16,605</w:t>
                  </w:r>
                </w:p>
              </w:tc>
              <w:tc>
                <w:tcPr>
                  <w:tcW w:w="1962" w:type="dxa"/>
                </w:tcPr>
                <w:p w14:paraId="2829B9D7" w14:textId="77777777" w:rsidR="00262184" w:rsidRDefault="00262184" w:rsidP="00262184">
                  <w:r>
                    <w:t>£5,535</w:t>
                  </w:r>
                </w:p>
              </w:tc>
              <w:tc>
                <w:tcPr>
                  <w:tcW w:w="1701" w:type="dxa"/>
                </w:tcPr>
                <w:p w14:paraId="63CB478B" w14:textId="77777777" w:rsidR="00262184" w:rsidRDefault="00262184" w:rsidP="00262184">
                  <w:r>
                    <w:t>£16,632.05</w:t>
                  </w:r>
                </w:p>
              </w:tc>
            </w:tr>
          </w:tbl>
          <w:p w14:paraId="216EBC05" w14:textId="53FA2F30" w:rsidR="0075301E" w:rsidRDefault="00F63104" w:rsidP="00F63104">
            <w:pPr>
              <w:rPr>
                <w:b/>
              </w:rPr>
            </w:pPr>
            <w:r w:rsidRPr="00F63104">
              <w:rPr>
                <w:b/>
              </w:rPr>
              <w:tab/>
            </w:r>
          </w:p>
          <w:p w14:paraId="34C7FE26" w14:textId="77777777" w:rsidR="0075301E" w:rsidRDefault="0075301E"/>
          <w:p w14:paraId="4B86534F" w14:textId="13E88FE6" w:rsidR="00F63104" w:rsidRDefault="001C3FA2" w:rsidP="001C3FA2">
            <w:pPr>
              <w:tabs>
                <w:tab w:val="left" w:pos="2295"/>
              </w:tabs>
            </w:pPr>
            <w:r>
              <w:tab/>
            </w:r>
          </w:p>
          <w:p w14:paraId="6FFB800E" w14:textId="77777777" w:rsidR="00F63104" w:rsidRDefault="00F63104">
            <w:r>
              <w:t xml:space="preserve">As mentioned above our funding will be used to provide small group tuition throughout targeted intervention programmes. </w:t>
            </w:r>
          </w:p>
          <w:p w14:paraId="44C63A49" w14:textId="77777777" w:rsidR="001C3FA2" w:rsidRDefault="001C3FA2"/>
          <w:p w14:paraId="302FC596" w14:textId="5648E697" w:rsidR="001C3FA2" w:rsidRDefault="001C3FA2">
            <w:r w:rsidRPr="00844770">
              <w:t>Separate documents with a half termly report on spending and impact</w:t>
            </w:r>
            <w:r w:rsidR="00115D38">
              <w:t xml:space="preserve"> on individual pupils</w:t>
            </w:r>
            <w:r w:rsidRPr="00844770">
              <w:t xml:space="preserve"> is available.</w:t>
            </w:r>
          </w:p>
        </w:tc>
        <w:tc>
          <w:tcPr>
            <w:tcW w:w="7706" w:type="dxa"/>
          </w:tcPr>
          <w:p w14:paraId="33BBE70E" w14:textId="77777777" w:rsidR="0075301E" w:rsidRDefault="0075301E"/>
          <w:p w14:paraId="4A9BDC93" w14:textId="77777777" w:rsidR="0075301E" w:rsidRDefault="00757C99">
            <w:r>
              <w:t>The EEF advises the following:</w:t>
            </w:r>
          </w:p>
          <w:p w14:paraId="5869E119" w14:textId="77777777" w:rsidR="0075301E" w:rsidRDefault="0075301E"/>
          <w:p w14:paraId="70ED52EC" w14:textId="77777777" w:rsidR="0075301E" w:rsidRDefault="00757C99">
            <w:r>
              <w:t xml:space="preserve">Teaching and whole school strategies </w:t>
            </w:r>
          </w:p>
          <w:p w14:paraId="5B931594" w14:textId="77777777" w:rsidR="0075301E" w:rsidRDefault="00757C99">
            <w:pPr>
              <w:numPr>
                <w:ilvl w:val="0"/>
                <w:numId w:val="4"/>
              </w:numPr>
              <w:pBdr>
                <w:top w:val="nil"/>
                <w:left w:val="nil"/>
                <w:bottom w:val="nil"/>
                <w:right w:val="nil"/>
                <w:between w:val="nil"/>
              </w:pBdr>
              <w:rPr>
                <w:color w:val="000000"/>
              </w:rPr>
            </w:pPr>
            <w:r>
              <w:rPr>
                <w:color w:val="000000"/>
              </w:rPr>
              <w:lastRenderedPageBreak/>
              <w:t>Supporting great teaching</w:t>
            </w:r>
          </w:p>
          <w:p w14:paraId="34AFB3B2" w14:textId="77777777" w:rsidR="0075301E" w:rsidRDefault="00757C99">
            <w:pPr>
              <w:numPr>
                <w:ilvl w:val="0"/>
                <w:numId w:val="4"/>
              </w:numPr>
              <w:pBdr>
                <w:top w:val="nil"/>
                <w:left w:val="nil"/>
                <w:bottom w:val="nil"/>
                <w:right w:val="nil"/>
                <w:between w:val="nil"/>
              </w:pBdr>
              <w:rPr>
                <w:color w:val="000000"/>
              </w:rPr>
            </w:pPr>
            <w:r>
              <w:rPr>
                <w:color w:val="000000"/>
              </w:rPr>
              <w:t xml:space="preserve">Pupil assessment and feedback </w:t>
            </w:r>
          </w:p>
          <w:p w14:paraId="538D80D7" w14:textId="77777777" w:rsidR="0075301E" w:rsidRDefault="00757C99">
            <w:pPr>
              <w:numPr>
                <w:ilvl w:val="0"/>
                <w:numId w:val="4"/>
              </w:numPr>
              <w:pBdr>
                <w:top w:val="nil"/>
                <w:left w:val="nil"/>
                <w:bottom w:val="nil"/>
                <w:right w:val="nil"/>
                <w:between w:val="nil"/>
              </w:pBdr>
              <w:rPr>
                <w:color w:val="000000"/>
              </w:rPr>
            </w:pPr>
            <w:r>
              <w:rPr>
                <w:color w:val="000000"/>
              </w:rPr>
              <w:t>Transition support</w:t>
            </w:r>
          </w:p>
          <w:p w14:paraId="76949563" w14:textId="77777777" w:rsidR="0075301E" w:rsidRDefault="0075301E"/>
          <w:p w14:paraId="3D33FCA3" w14:textId="77777777" w:rsidR="0075301E" w:rsidRDefault="00757C99">
            <w:r>
              <w:t xml:space="preserve">Targeted approaches </w:t>
            </w:r>
          </w:p>
          <w:p w14:paraId="0E6FD4DB" w14:textId="77777777" w:rsidR="0075301E" w:rsidRPr="00F63104" w:rsidRDefault="00757C99">
            <w:pPr>
              <w:numPr>
                <w:ilvl w:val="0"/>
                <w:numId w:val="1"/>
              </w:numPr>
              <w:pBdr>
                <w:top w:val="nil"/>
                <w:left w:val="nil"/>
                <w:bottom w:val="nil"/>
                <w:right w:val="nil"/>
                <w:between w:val="nil"/>
              </w:pBdr>
              <w:rPr>
                <w:b/>
                <w:color w:val="000000"/>
              </w:rPr>
            </w:pPr>
            <w:r w:rsidRPr="00F63104">
              <w:rPr>
                <w:b/>
                <w:color w:val="000000"/>
              </w:rPr>
              <w:t xml:space="preserve">One to one and small group tuition </w:t>
            </w:r>
          </w:p>
          <w:p w14:paraId="73458EA7" w14:textId="77777777" w:rsidR="0075301E" w:rsidRPr="00F63104" w:rsidRDefault="00757C99">
            <w:pPr>
              <w:numPr>
                <w:ilvl w:val="0"/>
                <w:numId w:val="1"/>
              </w:numPr>
              <w:pBdr>
                <w:top w:val="nil"/>
                <w:left w:val="nil"/>
                <w:bottom w:val="nil"/>
                <w:right w:val="nil"/>
                <w:between w:val="nil"/>
              </w:pBdr>
              <w:rPr>
                <w:b/>
                <w:color w:val="000000"/>
              </w:rPr>
            </w:pPr>
            <w:r w:rsidRPr="00F63104">
              <w:rPr>
                <w:b/>
                <w:color w:val="000000"/>
              </w:rPr>
              <w:t xml:space="preserve">Intervention programmes </w:t>
            </w:r>
          </w:p>
          <w:p w14:paraId="4E7E863E" w14:textId="77777777" w:rsidR="0075301E" w:rsidRDefault="00757C99">
            <w:pPr>
              <w:numPr>
                <w:ilvl w:val="0"/>
                <w:numId w:val="1"/>
              </w:numPr>
              <w:pBdr>
                <w:top w:val="nil"/>
                <w:left w:val="nil"/>
                <w:bottom w:val="nil"/>
                <w:right w:val="nil"/>
                <w:between w:val="nil"/>
              </w:pBdr>
              <w:rPr>
                <w:color w:val="000000"/>
              </w:rPr>
            </w:pPr>
            <w:r>
              <w:rPr>
                <w:color w:val="000000"/>
              </w:rPr>
              <w:t>Extended school time</w:t>
            </w:r>
          </w:p>
          <w:p w14:paraId="66F0CFD0" w14:textId="77777777" w:rsidR="0075301E" w:rsidRDefault="0075301E"/>
          <w:p w14:paraId="3F614FDB" w14:textId="77777777" w:rsidR="0075301E" w:rsidRDefault="00757C99">
            <w:r>
              <w:t xml:space="preserve">Wider strategies </w:t>
            </w:r>
          </w:p>
          <w:p w14:paraId="1341509D" w14:textId="77777777" w:rsidR="0075301E" w:rsidRDefault="00757C99">
            <w:pPr>
              <w:numPr>
                <w:ilvl w:val="0"/>
                <w:numId w:val="2"/>
              </w:numPr>
              <w:pBdr>
                <w:top w:val="nil"/>
                <w:left w:val="nil"/>
                <w:bottom w:val="nil"/>
                <w:right w:val="nil"/>
                <w:between w:val="nil"/>
              </w:pBdr>
              <w:rPr>
                <w:color w:val="000000"/>
              </w:rPr>
            </w:pPr>
            <w:r>
              <w:rPr>
                <w:color w:val="000000"/>
              </w:rPr>
              <w:t xml:space="preserve">Supporting parent and carers </w:t>
            </w:r>
          </w:p>
          <w:p w14:paraId="4BBE5886" w14:textId="77777777" w:rsidR="0075301E" w:rsidRDefault="00757C99">
            <w:pPr>
              <w:numPr>
                <w:ilvl w:val="0"/>
                <w:numId w:val="2"/>
              </w:numPr>
              <w:pBdr>
                <w:top w:val="nil"/>
                <w:left w:val="nil"/>
                <w:bottom w:val="nil"/>
                <w:right w:val="nil"/>
                <w:between w:val="nil"/>
              </w:pBdr>
              <w:rPr>
                <w:color w:val="000000"/>
              </w:rPr>
            </w:pPr>
            <w:r>
              <w:rPr>
                <w:color w:val="000000"/>
              </w:rPr>
              <w:t xml:space="preserve">Access to technology </w:t>
            </w:r>
          </w:p>
          <w:p w14:paraId="6056DD13" w14:textId="77777777" w:rsidR="0075301E" w:rsidRDefault="00757C99">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14:paraId="71D29E13" w14:textId="77777777" w:rsidR="0075301E" w:rsidRDefault="0075301E">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75301E" w14:paraId="05FEE3BC" w14:textId="77777777" w:rsidTr="008A522E">
        <w:tc>
          <w:tcPr>
            <w:tcW w:w="15417" w:type="dxa"/>
            <w:gridSpan w:val="2"/>
            <w:shd w:val="clear" w:color="auto" w:fill="C0504D" w:themeFill="accent2"/>
            <w:tcMar>
              <w:top w:w="57" w:type="dxa"/>
              <w:bottom w:w="57" w:type="dxa"/>
            </w:tcMar>
          </w:tcPr>
          <w:p w14:paraId="38072ABA" w14:textId="705FEADD" w:rsidR="0075301E" w:rsidRDefault="00533ED6">
            <w:pPr>
              <w:rPr>
                <w:b/>
                <w:color w:val="FFFFFF"/>
                <w:sz w:val="24"/>
                <w:szCs w:val="24"/>
              </w:rPr>
            </w:pPr>
            <w:r>
              <w:rPr>
                <w:b/>
                <w:color w:val="FFFFFF"/>
                <w:sz w:val="24"/>
                <w:szCs w:val="24"/>
              </w:rPr>
              <w:t>Identified areas to target for intervention</w:t>
            </w:r>
            <w:r w:rsidR="001C3FA2">
              <w:rPr>
                <w:b/>
                <w:color w:val="FFFFFF"/>
                <w:sz w:val="24"/>
                <w:szCs w:val="24"/>
              </w:rPr>
              <w:t xml:space="preserve"> Autumn term</w:t>
            </w:r>
          </w:p>
        </w:tc>
      </w:tr>
      <w:tr w:rsidR="0075301E" w14:paraId="6596C051" w14:textId="77777777">
        <w:tc>
          <w:tcPr>
            <w:tcW w:w="1271" w:type="dxa"/>
            <w:tcMar>
              <w:top w:w="57" w:type="dxa"/>
              <w:bottom w:w="57" w:type="dxa"/>
            </w:tcMar>
          </w:tcPr>
          <w:p w14:paraId="4C10C1DE" w14:textId="5D3BD907" w:rsidR="0075301E" w:rsidRDefault="00533ED6">
            <w:pPr>
              <w:tabs>
                <w:tab w:val="left" w:pos="75"/>
              </w:tabs>
              <w:rPr>
                <w:b/>
              </w:rPr>
            </w:pPr>
            <w:r>
              <w:rPr>
                <w:b/>
              </w:rPr>
              <w:t>Year 2 maths</w:t>
            </w:r>
          </w:p>
        </w:tc>
        <w:tc>
          <w:tcPr>
            <w:tcW w:w="14146" w:type="dxa"/>
          </w:tcPr>
          <w:p w14:paraId="39EA2C94" w14:textId="6558AC79" w:rsidR="0075301E" w:rsidRDefault="00533ED6">
            <w:r>
              <w:t>Undeniably the children in KS1 have had a disrupted start to their education and therefore we are focussing much of our time on the age bracket. In particular year 2. All pupils in year 2 will receive small g</w:t>
            </w:r>
            <w:r w:rsidR="001C3FA2">
              <w:t xml:space="preserve">roup tuition for the Autumn term which will be reviewed in December. There will be a focus on multiplication, division and fractions as this area </w:t>
            </w:r>
            <w:r w:rsidR="008871EC">
              <w:t xml:space="preserve">was taught during home schooling. </w:t>
            </w:r>
          </w:p>
          <w:p w14:paraId="49EEB4B1" w14:textId="77777777" w:rsidR="0075301E" w:rsidRDefault="0075301E" w:rsidP="00533ED6"/>
        </w:tc>
      </w:tr>
      <w:tr w:rsidR="0075301E" w14:paraId="16C191C7" w14:textId="77777777">
        <w:tc>
          <w:tcPr>
            <w:tcW w:w="1271" w:type="dxa"/>
            <w:tcMar>
              <w:top w:w="57" w:type="dxa"/>
              <w:bottom w:w="57" w:type="dxa"/>
            </w:tcMar>
          </w:tcPr>
          <w:p w14:paraId="7AD808B6" w14:textId="0677186E" w:rsidR="0075301E" w:rsidRDefault="008871EC">
            <w:pPr>
              <w:tabs>
                <w:tab w:val="left" w:pos="75"/>
              </w:tabs>
              <w:rPr>
                <w:b/>
              </w:rPr>
            </w:pPr>
            <w:r>
              <w:rPr>
                <w:b/>
              </w:rPr>
              <w:t>Year 2 writing</w:t>
            </w:r>
          </w:p>
        </w:tc>
        <w:tc>
          <w:tcPr>
            <w:tcW w:w="14146" w:type="dxa"/>
          </w:tcPr>
          <w:p w14:paraId="2A1585FA" w14:textId="6CA02B94" w:rsidR="0075301E" w:rsidRDefault="008871EC" w:rsidP="008871EC">
            <w:r>
              <w:t xml:space="preserve">A small group of year 2 children from year 2 will come out of class during literacy lessons. They will still follow the same text and structure as the rest of their classmates </w:t>
            </w:r>
            <w:r w:rsidR="00596045">
              <w:t xml:space="preserve">but with a focus on the year 1 curriculum gaps they have. </w:t>
            </w:r>
          </w:p>
        </w:tc>
      </w:tr>
      <w:tr w:rsidR="0075301E" w14:paraId="73B5E0E0" w14:textId="77777777">
        <w:tc>
          <w:tcPr>
            <w:tcW w:w="1271" w:type="dxa"/>
            <w:tcMar>
              <w:top w:w="57" w:type="dxa"/>
              <w:bottom w:w="57" w:type="dxa"/>
            </w:tcMar>
          </w:tcPr>
          <w:p w14:paraId="3FFD8EBF" w14:textId="1209365C" w:rsidR="0075301E" w:rsidRDefault="00596045">
            <w:pPr>
              <w:tabs>
                <w:tab w:val="left" w:pos="75"/>
              </w:tabs>
              <w:rPr>
                <w:b/>
              </w:rPr>
            </w:pPr>
            <w:r>
              <w:rPr>
                <w:b/>
              </w:rPr>
              <w:t>KS1 phonics</w:t>
            </w:r>
          </w:p>
        </w:tc>
        <w:tc>
          <w:tcPr>
            <w:tcW w:w="14146" w:type="dxa"/>
          </w:tcPr>
          <w:p w14:paraId="00E1EE73" w14:textId="789ECE2F" w:rsidR="0075301E" w:rsidRDefault="00596045">
            <w:r>
              <w:t xml:space="preserve">With our new phonics </w:t>
            </w:r>
            <w:proofErr w:type="gramStart"/>
            <w:r>
              <w:t>programme</w:t>
            </w:r>
            <w:proofErr w:type="gramEnd"/>
            <w:r>
              <w:t xml:space="preserve"> we are using the f</w:t>
            </w:r>
            <w:r w:rsidR="00115D38">
              <w:t>unding</w:t>
            </w:r>
            <w:r>
              <w:t xml:space="preserve"> to create smaller phonics groups for th</w:t>
            </w:r>
            <w:r w:rsidR="00A34617">
              <w:t>o</w:t>
            </w:r>
            <w:r>
              <w:t xml:space="preserve">se children who have clear gaps in their phonic knowledge that </w:t>
            </w:r>
            <w:r w:rsidR="00A34617">
              <w:t xml:space="preserve">mean they are significantly behind their peers. Assessments will determine the grouping for this. Some pupils in ks2 will be supported in these groups. </w:t>
            </w:r>
          </w:p>
          <w:p w14:paraId="7685525E" w14:textId="77777777" w:rsidR="0075301E" w:rsidRDefault="0075301E"/>
        </w:tc>
      </w:tr>
      <w:tr w:rsidR="0075301E" w14:paraId="77576913" w14:textId="77777777">
        <w:tc>
          <w:tcPr>
            <w:tcW w:w="1271" w:type="dxa"/>
            <w:tcMar>
              <w:top w:w="57" w:type="dxa"/>
              <w:bottom w:w="57" w:type="dxa"/>
            </w:tcMar>
          </w:tcPr>
          <w:p w14:paraId="2111B6EF" w14:textId="4482DD79" w:rsidR="0075301E" w:rsidRDefault="00A34617">
            <w:pPr>
              <w:tabs>
                <w:tab w:val="left" w:pos="75"/>
              </w:tabs>
              <w:rPr>
                <w:b/>
              </w:rPr>
            </w:pPr>
            <w:r>
              <w:rPr>
                <w:b/>
              </w:rPr>
              <w:t>1:1 and small group KS2 core subjects.</w:t>
            </w:r>
          </w:p>
        </w:tc>
        <w:tc>
          <w:tcPr>
            <w:tcW w:w="14146" w:type="dxa"/>
          </w:tcPr>
          <w:p w14:paraId="5F8473B2" w14:textId="6F807B14" w:rsidR="0075301E" w:rsidRDefault="00A34617" w:rsidP="00A34617">
            <w:r>
              <w:t>Using our assessment system ‘Balance’ we will identify pupils with clear gaps</w:t>
            </w:r>
            <w:r w:rsidR="006549D2">
              <w:t xml:space="preserve"> from previous/ current years</w:t>
            </w:r>
            <w:r>
              <w:t xml:space="preserve"> in their learning across the core subjects. These pupils will receive individualised tutoring in subjects and key areas specific to them or a small group. </w:t>
            </w:r>
          </w:p>
        </w:tc>
      </w:tr>
    </w:tbl>
    <w:p w14:paraId="6B0F1937" w14:textId="77777777" w:rsidR="00167385" w:rsidRDefault="00167385"/>
    <w:p w14:paraId="5DBD5FAF" w14:textId="77777777" w:rsidR="00577BAF" w:rsidRDefault="00577BAF" w:rsidP="00577BAF">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577BAF" w14:paraId="106321A1" w14:textId="77777777" w:rsidTr="005D2C32">
        <w:tc>
          <w:tcPr>
            <w:tcW w:w="15417" w:type="dxa"/>
            <w:gridSpan w:val="2"/>
            <w:shd w:val="clear" w:color="auto" w:fill="C0504D" w:themeFill="accent2"/>
            <w:tcMar>
              <w:top w:w="57" w:type="dxa"/>
              <w:bottom w:w="57" w:type="dxa"/>
            </w:tcMar>
          </w:tcPr>
          <w:p w14:paraId="450CA001" w14:textId="122DA381" w:rsidR="00577BAF" w:rsidRDefault="00577BAF" w:rsidP="005D2C32">
            <w:pPr>
              <w:rPr>
                <w:b/>
                <w:color w:val="FFFFFF"/>
                <w:sz w:val="24"/>
                <w:szCs w:val="24"/>
              </w:rPr>
            </w:pPr>
            <w:r>
              <w:rPr>
                <w:b/>
                <w:color w:val="FFFFFF"/>
                <w:sz w:val="24"/>
                <w:szCs w:val="24"/>
              </w:rPr>
              <w:lastRenderedPageBreak/>
              <w:t>Identified areas to target for intervention Spring term</w:t>
            </w:r>
          </w:p>
        </w:tc>
      </w:tr>
      <w:tr w:rsidR="00577BAF" w14:paraId="61A68129" w14:textId="77777777" w:rsidTr="005D2C32">
        <w:tc>
          <w:tcPr>
            <w:tcW w:w="1271" w:type="dxa"/>
            <w:tcMar>
              <w:top w:w="57" w:type="dxa"/>
              <w:bottom w:w="57" w:type="dxa"/>
            </w:tcMar>
          </w:tcPr>
          <w:p w14:paraId="460DDA1B" w14:textId="2425D8B6" w:rsidR="00577BAF" w:rsidRDefault="00115D38" w:rsidP="005D2C32">
            <w:pPr>
              <w:tabs>
                <w:tab w:val="left" w:pos="75"/>
              </w:tabs>
              <w:rPr>
                <w:b/>
              </w:rPr>
            </w:pPr>
            <w:r>
              <w:rPr>
                <w:b/>
              </w:rPr>
              <w:t>KS1 phonics</w:t>
            </w:r>
          </w:p>
        </w:tc>
        <w:tc>
          <w:tcPr>
            <w:tcW w:w="14146" w:type="dxa"/>
          </w:tcPr>
          <w:p w14:paraId="0621E20E" w14:textId="77777777" w:rsidR="00115D38" w:rsidRDefault="00115D38" w:rsidP="00115D38">
            <w:r>
              <w:t xml:space="preserve">With our new phonics </w:t>
            </w:r>
            <w:proofErr w:type="gramStart"/>
            <w:r>
              <w:t>programme</w:t>
            </w:r>
            <w:proofErr w:type="gramEnd"/>
            <w:r>
              <w:t xml:space="preserve"> we are using the funding to create smaller phonics groups for those children who have clear gaps in their phonic knowledge that mean they are significantly behind their peers. Assessments will determine the grouping for this. Some pupils in ks2 will be supported in these groups. </w:t>
            </w:r>
          </w:p>
          <w:p w14:paraId="52CB7078" w14:textId="77777777" w:rsidR="00577BAF" w:rsidRDefault="00577BAF" w:rsidP="005D2C32"/>
        </w:tc>
      </w:tr>
      <w:tr w:rsidR="00577BAF" w14:paraId="492BB336" w14:textId="77777777" w:rsidTr="005D2C32">
        <w:tc>
          <w:tcPr>
            <w:tcW w:w="1271" w:type="dxa"/>
            <w:tcMar>
              <w:top w:w="57" w:type="dxa"/>
              <w:bottom w:w="57" w:type="dxa"/>
            </w:tcMar>
          </w:tcPr>
          <w:p w14:paraId="4BB5EC5E" w14:textId="7955AA62" w:rsidR="00577BAF" w:rsidRDefault="00115D38" w:rsidP="005D2C32">
            <w:pPr>
              <w:tabs>
                <w:tab w:val="left" w:pos="75"/>
              </w:tabs>
              <w:rPr>
                <w:b/>
              </w:rPr>
            </w:pPr>
            <w:r>
              <w:rPr>
                <w:b/>
              </w:rPr>
              <w:t>KS2 small group maths</w:t>
            </w:r>
          </w:p>
        </w:tc>
        <w:tc>
          <w:tcPr>
            <w:tcW w:w="14146" w:type="dxa"/>
          </w:tcPr>
          <w:p w14:paraId="1D39B043" w14:textId="79EF8175" w:rsidR="00577BAF" w:rsidRDefault="00115D38" w:rsidP="005D2C32">
            <w:r>
              <w:t xml:space="preserve">These groups will focus on gaps in learning from the previous academic year but also revisit any learning from the current academic year where the data on our assessment system Balance identifies the children were not secure. </w:t>
            </w:r>
          </w:p>
        </w:tc>
      </w:tr>
      <w:tr w:rsidR="00577BAF" w14:paraId="07C8DFE6" w14:textId="77777777" w:rsidTr="005D2C32">
        <w:tc>
          <w:tcPr>
            <w:tcW w:w="1271" w:type="dxa"/>
            <w:tcMar>
              <w:top w:w="57" w:type="dxa"/>
              <w:bottom w:w="57" w:type="dxa"/>
            </w:tcMar>
          </w:tcPr>
          <w:p w14:paraId="2C86F34A" w14:textId="6CBDE560" w:rsidR="00577BAF" w:rsidRDefault="00115D38" w:rsidP="005D2C32">
            <w:pPr>
              <w:tabs>
                <w:tab w:val="left" w:pos="75"/>
              </w:tabs>
              <w:rPr>
                <w:b/>
              </w:rPr>
            </w:pPr>
            <w:r>
              <w:rPr>
                <w:b/>
              </w:rPr>
              <w:t>Year 5 and 6 writing</w:t>
            </w:r>
          </w:p>
        </w:tc>
        <w:tc>
          <w:tcPr>
            <w:tcW w:w="14146" w:type="dxa"/>
          </w:tcPr>
          <w:p w14:paraId="608C7748" w14:textId="675FE0FC" w:rsidR="00577BAF" w:rsidRDefault="00115D38" w:rsidP="005D2C32">
            <w:r>
              <w:t xml:space="preserve">A small number of pupils especially those in receipt of the pupil premium in year 5 and 6 will work together to aid them with their writing. Focussing on gaps from the previous year and support identified by the class teacher.  A group for year 5 and a group for year 6. </w:t>
            </w:r>
          </w:p>
        </w:tc>
      </w:tr>
      <w:tr w:rsidR="00577BAF" w14:paraId="53119103" w14:textId="77777777" w:rsidTr="005D2C32">
        <w:tc>
          <w:tcPr>
            <w:tcW w:w="1271" w:type="dxa"/>
            <w:tcMar>
              <w:top w:w="57" w:type="dxa"/>
              <w:bottom w:w="57" w:type="dxa"/>
            </w:tcMar>
          </w:tcPr>
          <w:p w14:paraId="40422CC2" w14:textId="2C5A60F7" w:rsidR="00577BAF" w:rsidRDefault="00115D38" w:rsidP="005D2C32">
            <w:pPr>
              <w:tabs>
                <w:tab w:val="left" w:pos="75"/>
              </w:tabs>
              <w:rPr>
                <w:b/>
              </w:rPr>
            </w:pPr>
            <w:r>
              <w:rPr>
                <w:b/>
              </w:rPr>
              <w:t xml:space="preserve">1:1 </w:t>
            </w:r>
            <w:proofErr w:type="gramStart"/>
            <w:r>
              <w:rPr>
                <w:b/>
              </w:rPr>
              <w:t>readers</w:t>
            </w:r>
            <w:proofErr w:type="gramEnd"/>
          </w:p>
        </w:tc>
        <w:tc>
          <w:tcPr>
            <w:tcW w:w="14146" w:type="dxa"/>
          </w:tcPr>
          <w:p w14:paraId="45BBDCC7" w14:textId="203C935C" w:rsidR="00577BAF" w:rsidRDefault="001A6B19" w:rsidP="005D2C32">
            <w:r>
              <w:t xml:space="preserve">Focus on enjoyment of reading and exploring books for pleasure. </w:t>
            </w:r>
          </w:p>
        </w:tc>
      </w:tr>
    </w:tbl>
    <w:p w14:paraId="71132910" w14:textId="77777777" w:rsidR="00167385" w:rsidRDefault="00167385"/>
    <w:p w14:paraId="3DB7C32A" w14:textId="77777777" w:rsidR="00167385" w:rsidRDefault="00167385"/>
    <w:p w14:paraId="628EE19C" w14:textId="77777777" w:rsidR="00167385" w:rsidRDefault="00167385"/>
    <w:p w14:paraId="3655A5ED" w14:textId="77777777" w:rsidR="00577BAF" w:rsidRDefault="00577BAF" w:rsidP="00577BAF">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577BAF" w14:paraId="27FC463C" w14:textId="77777777" w:rsidTr="005D2C32">
        <w:tc>
          <w:tcPr>
            <w:tcW w:w="15417" w:type="dxa"/>
            <w:gridSpan w:val="2"/>
            <w:shd w:val="clear" w:color="auto" w:fill="C0504D" w:themeFill="accent2"/>
            <w:tcMar>
              <w:top w:w="57" w:type="dxa"/>
              <w:bottom w:w="57" w:type="dxa"/>
            </w:tcMar>
          </w:tcPr>
          <w:p w14:paraId="0ECB4AAB" w14:textId="6EF91686" w:rsidR="00577BAF" w:rsidRDefault="00577BAF" w:rsidP="005D2C32">
            <w:pPr>
              <w:rPr>
                <w:b/>
                <w:color w:val="FFFFFF"/>
                <w:sz w:val="24"/>
                <w:szCs w:val="24"/>
              </w:rPr>
            </w:pPr>
            <w:r>
              <w:rPr>
                <w:b/>
                <w:color w:val="FFFFFF"/>
                <w:sz w:val="24"/>
                <w:szCs w:val="24"/>
              </w:rPr>
              <w:t xml:space="preserve">Identified areas to target for intervention </w:t>
            </w:r>
            <w:proofErr w:type="gramStart"/>
            <w:r>
              <w:rPr>
                <w:b/>
                <w:color w:val="FFFFFF"/>
                <w:sz w:val="24"/>
                <w:szCs w:val="24"/>
              </w:rPr>
              <w:t>Summer</w:t>
            </w:r>
            <w:proofErr w:type="gramEnd"/>
            <w:r>
              <w:rPr>
                <w:b/>
                <w:color w:val="FFFFFF"/>
                <w:sz w:val="24"/>
                <w:szCs w:val="24"/>
              </w:rPr>
              <w:t xml:space="preserve"> term</w:t>
            </w:r>
          </w:p>
        </w:tc>
      </w:tr>
      <w:tr w:rsidR="00577BAF" w14:paraId="55E76386" w14:textId="77777777" w:rsidTr="005D2C32">
        <w:tc>
          <w:tcPr>
            <w:tcW w:w="1271" w:type="dxa"/>
            <w:tcMar>
              <w:top w:w="57" w:type="dxa"/>
              <w:bottom w:w="57" w:type="dxa"/>
            </w:tcMar>
          </w:tcPr>
          <w:p w14:paraId="141F238C" w14:textId="3F3F17E1" w:rsidR="00577BAF" w:rsidRDefault="00115D38" w:rsidP="005D2C32">
            <w:pPr>
              <w:tabs>
                <w:tab w:val="left" w:pos="75"/>
              </w:tabs>
              <w:rPr>
                <w:b/>
              </w:rPr>
            </w:pPr>
            <w:r>
              <w:rPr>
                <w:b/>
              </w:rPr>
              <w:t>KS1 phonics</w:t>
            </w:r>
          </w:p>
        </w:tc>
        <w:tc>
          <w:tcPr>
            <w:tcW w:w="14146" w:type="dxa"/>
          </w:tcPr>
          <w:p w14:paraId="5D425C9A" w14:textId="4785790E" w:rsidR="00577BAF" w:rsidRDefault="00115D38" w:rsidP="005D2C32">
            <w:r>
              <w:t xml:space="preserve">With our new phonics </w:t>
            </w:r>
            <w:proofErr w:type="gramStart"/>
            <w:r>
              <w:t>programme</w:t>
            </w:r>
            <w:proofErr w:type="gramEnd"/>
            <w:r>
              <w:t xml:space="preserve"> we are using the funding to create smaller phonics groups for those children who have clear gaps in their phonic knowledge that mean they are significantly behind their peers. Assessments will determine the grouping for this. Some pupils in ks2 will be supported in these groups. </w:t>
            </w:r>
          </w:p>
        </w:tc>
      </w:tr>
      <w:tr w:rsidR="00577BAF" w14:paraId="5B42BEE2" w14:textId="77777777" w:rsidTr="005D2C32">
        <w:tc>
          <w:tcPr>
            <w:tcW w:w="1271" w:type="dxa"/>
            <w:tcMar>
              <w:top w:w="57" w:type="dxa"/>
              <w:bottom w:w="57" w:type="dxa"/>
            </w:tcMar>
          </w:tcPr>
          <w:p w14:paraId="28E1F4E1" w14:textId="169BA414" w:rsidR="00577BAF" w:rsidRDefault="00484483" w:rsidP="005D2C32">
            <w:pPr>
              <w:tabs>
                <w:tab w:val="left" w:pos="75"/>
              </w:tabs>
              <w:rPr>
                <w:b/>
              </w:rPr>
            </w:pPr>
            <w:r>
              <w:rPr>
                <w:b/>
              </w:rPr>
              <w:t>Year 2 reading support</w:t>
            </w:r>
          </w:p>
        </w:tc>
        <w:tc>
          <w:tcPr>
            <w:tcW w:w="14146" w:type="dxa"/>
          </w:tcPr>
          <w:p w14:paraId="7F7C3679" w14:textId="243C33CF" w:rsidR="00577BAF" w:rsidRDefault="00484483" w:rsidP="005D2C32">
            <w:r>
              <w:t xml:space="preserve">One of our groups identified to support the children who are low in confidence and need support understanding in preparation for their SATS. Time will be spent looking at past papers and identifying areas of learning where there are gaps in learning. </w:t>
            </w:r>
          </w:p>
        </w:tc>
      </w:tr>
      <w:tr w:rsidR="00577BAF" w14:paraId="04AE024F" w14:textId="77777777" w:rsidTr="005D2C32">
        <w:tc>
          <w:tcPr>
            <w:tcW w:w="1271" w:type="dxa"/>
            <w:tcMar>
              <w:top w:w="57" w:type="dxa"/>
              <w:bottom w:w="57" w:type="dxa"/>
            </w:tcMar>
          </w:tcPr>
          <w:p w14:paraId="2AA1D8EB" w14:textId="47BDCB0A" w:rsidR="00577BAF" w:rsidRDefault="00484483" w:rsidP="005D2C32">
            <w:pPr>
              <w:tabs>
                <w:tab w:val="left" w:pos="75"/>
              </w:tabs>
              <w:rPr>
                <w:b/>
              </w:rPr>
            </w:pPr>
            <w:r>
              <w:rPr>
                <w:b/>
              </w:rPr>
              <w:t>Year 2 maths</w:t>
            </w:r>
          </w:p>
        </w:tc>
        <w:tc>
          <w:tcPr>
            <w:tcW w:w="14146" w:type="dxa"/>
          </w:tcPr>
          <w:p w14:paraId="36E184BC" w14:textId="6DCA0D66" w:rsidR="00577BAF" w:rsidRDefault="00484483" w:rsidP="005D2C32">
            <w:r>
              <w:t>One of our groups identified to support the children who are low in confidence and need support understanding in preparation for their SATS. Time will be spent looking at past papers and identifying areas of learning where there are gaps in learning.</w:t>
            </w:r>
          </w:p>
        </w:tc>
      </w:tr>
      <w:tr w:rsidR="00577BAF" w14:paraId="0F559C63" w14:textId="77777777" w:rsidTr="005D2C32">
        <w:tc>
          <w:tcPr>
            <w:tcW w:w="1271" w:type="dxa"/>
            <w:tcMar>
              <w:top w:w="57" w:type="dxa"/>
              <w:bottom w:w="57" w:type="dxa"/>
            </w:tcMar>
          </w:tcPr>
          <w:p w14:paraId="229B344B" w14:textId="2737D8A7" w:rsidR="00577BAF" w:rsidRDefault="00484483" w:rsidP="005D2C32">
            <w:pPr>
              <w:tabs>
                <w:tab w:val="left" w:pos="75"/>
              </w:tabs>
              <w:rPr>
                <w:b/>
              </w:rPr>
            </w:pPr>
            <w:r>
              <w:rPr>
                <w:b/>
              </w:rPr>
              <w:t>Year 2 writing group</w:t>
            </w:r>
          </w:p>
        </w:tc>
        <w:tc>
          <w:tcPr>
            <w:tcW w:w="14146" w:type="dxa"/>
          </w:tcPr>
          <w:p w14:paraId="3731DF70" w14:textId="2DC9C4C6" w:rsidR="00577BAF" w:rsidRDefault="00484483" w:rsidP="005D2C32">
            <w:r>
              <w:t xml:space="preserve">This group have been identified as needing extra support out of the classroom. Work on basic sentence structure using conjunctions to be the primary focus. </w:t>
            </w:r>
          </w:p>
        </w:tc>
      </w:tr>
      <w:tr w:rsidR="00484483" w14:paraId="60042E58" w14:textId="77777777" w:rsidTr="005D2C32">
        <w:tc>
          <w:tcPr>
            <w:tcW w:w="1271" w:type="dxa"/>
            <w:tcMar>
              <w:top w:w="57" w:type="dxa"/>
              <w:bottom w:w="57" w:type="dxa"/>
            </w:tcMar>
          </w:tcPr>
          <w:p w14:paraId="26F09683" w14:textId="338ABAC4" w:rsidR="00484483" w:rsidRDefault="00484483" w:rsidP="005D2C32">
            <w:pPr>
              <w:tabs>
                <w:tab w:val="left" w:pos="75"/>
              </w:tabs>
              <w:rPr>
                <w:b/>
              </w:rPr>
            </w:pPr>
            <w:r>
              <w:rPr>
                <w:b/>
              </w:rPr>
              <w:t>Year 6 maths</w:t>
            </w:r>
          </w:p>
        </w:tc>
        <w:tc>
          <w:tcPr>
            <w:tcW w:w="14146" w:type="dxa"/>
          </w:tcPr>
          <w:p w14:paraId="76CAE01A" w14:textId="7E5A2754" w:rsidR="00484483" w:rsidRDefault="00484483" w:rsidP="005D2C32">
            <w:r>
              <w:t>One of our groups identified to support the children who are low in confidence and need support understanding in preparation for their SATS. Time will be spent looking at past papers and identifying areas of learning where there are gaps in learning.</w:t>
            </w:r>
          </w:p>
        </w:tc>
      </w:tr>
      <w:tr w:rsidR="00484483" w14:paraId="3AC8D8C8" w14:textId="77777777" w:rsidTr="005D2C32">
        <w:tc>
          <w:tcPr>
            <w:tcW w:w="1271" w:type="dxa"/>
            <w:tcMar>
              <w:top w:w="57" w:type="dxa"/>
              <w:bottom w:w="57" w:type="dxa"/>
            </w:tcMar>
          </w:tcPr>
          <w:p w14:paraId="1B72CB33" w14:textId="5764274A" w:rsidR="00484483" w:rsidRDefault="00484483" w:rsidP="005D2C32">
            <w:pPr>
              <w:tabs>
                <w:tab w:val="left" w:pos="75"/>
              </w:tabs>
              <w:rPr>
                <w:b/>
              </w:rPr>
            </w:pPr>
            <w:r>
              <w:rPr>
                <w:b/>
              </w:rPr>
              <w:t>Year 6 reading</w:t>
            </w:r>
          </w:p>
        </w:tc>
        <w:tc>
          <w:tcPr>
            <w:tcW w:w="14146" w:type="dxa"/>
          </w:tcPr>
          <w:p w14:paraId="1DEA2637" w14:textId="63A3B846" w:rsidR="00484483" w:rsidRDefault="00484483" w:rsidP="005D2C32">
            <w:r>
              <w:t>One of our groups identified to support the children who are low in confidence and need support understanding in preparation for their SATS. Time will be spent looking at past papers and identifying areas of learning where there are gaps in learning.</w:t>
            </w:r>
          </w:p>
        </w:tc>
      </w:tr>
      <w:tr w:rsidR="00484483" w14:paraId="75DD456B" w14:textId="77777777" w:rsidTr="005D2C32">
        <w:tc>
          <w:tcPr>
            <w:tcW w:w="1271" w:type="dxa"/>
            <w:tcMar>
              <w:top w:w="57" w:type="dxa"/>
              <w:bottom w:w="57" w:type="dxa"/>
            </w:tcMar>
          </w:tcPr>
          <w:p w14:paraId="46315177" w14:textId="7AE617D4" w:rsidR="00484483" w:rsidRDefault="005672F6" w:rsidP="005D2C32">
            <w:pPr>
              <w:tabs>
                <w:tab w:val="left" w:pos="75"/>
              </w:tabs>
              <w:rPr>
                <w:b/>
              </w:rPr>
            </w:pPr>
            <w:r>
              <w:rPr>
                <w:b/>
              </w:rPr>
              <w:t xml:space="preserve">KS2 maths </w:t>
            </w:r>
          </w:p>
        </w:tc>
        <w:tc>
          <w:tcPr>
            <w:tcW w:w="14146" w:type="dxa"/>
          </w:tcPr>
          <w:p w14:paraId="6D0F0FC7" w14:textId="6DAF4C98" w:rsidR="00484483" w:rsidRDefault="005672F6" w:rsidP="005D2C32">
            <w:r>
              <w:t xml:space="preserve">As with previous maths groups pupils have been identified as having gaps in learning or needing extra support from the current academic year’s learning. </w:t>
            </w:r>
          </w:p>
        </w:tc>
      </w:tr>
      <w:tr w:rsidR="00862013" w14:paraId="22B30FC8" w14:textId="77777777" w:rsidTr="005D2C32">
        <w:tc>
          <w:tcPr>
            <w:tcW w:w="1271" w:type="dxa"/>
            <w:tcMar>
              <w:top w:w="57" w:type="dxa"/>
              <w:bottom w:w="57" w:type="dxa"/>
            </w:tcMar>
          </w:tcPr>
          <w:p w14:paraId="19945A5B" w14:textId="6BC22B9C" w:rsidR="00862013" w:rsidRDefault="005672F6" w:rsidP="005D2C32">
            <w:pPr>
              <w:tabs>
                <w:tab w:val="left" w:pos="75"/>
              </w:tabs>
              <w:rPr>
                <w:b/>
              </w:rPr>
            </w:pPr>
            <w:r>
              <w:rPr>
                <w:b/>
              </w:rPr>
              <w:t xml:space="preserve">Year 2 and 3 </w:t>
            </w:r>
            <w:r w:rsidR="009B0CBC">
              <w:rPr>
                <w:b/>
              </w:rPr>
              <w:t>writing</w:t>
            </w:r>
            <w:r>
              <w:rPr>
                <w:b/>
              </w:rPr>
              <w:t xml:space="preserve"> </w:t>
            </w:r>
          </w:p>
        </w:tc>
        <w:tc>
          <w:tcPr>
            <w:tcW w:w="14146" w:type="dxa"/>
          </w:tcPr>
          <w:p w14:paraId="6B5B254E" w14:textId="75036EEC" w:rsidR="00862013" w:rsidRDefault="005672F6" w:rsidP="005D2C32">
            <w:r>
              <w:t xml:space="preserve">A year 2 and a year 3 group. Each group will work on specific areas identified by the class teacher and using our assessment data. </w:t>
            </w:r>
          </w:p>
        </w:tc>
      </w:tr>
      <w:tr w:rsidR="00862013" w14:paraId="61854705" w14:textId="77777777" w:rsidTr="005D2C32">
        <w:tc>
          <w:tcPr>
            <w:tcW w:w="1271" w:type="dxa"/>
            <w:tcMar>
              <w:top w:w="57" w:type="dxa"/>
              <w:bottom w:w="57" w:type="dxa"/>
            </w:tcMar>
          </w:tcPr>
          <w:p w14:paraId="4A713B9B" w14:textId="7897579F" w:rsidR="00862013" w:rsidRDefault="009B0CBC" w:rsidP="005D2C32">
            <w:pPr>
              <w:tabs>
                <w:tab w:val="left" w:pos="75"/>
              </w:tabs>
              <w:rPr>
                <w:b/>
              </w:rPr>
            </w:pPr>
            <w:r>
              <w:rPr>
                <w:b/>
              </w:rPr>
              <w:lastRenderedPageBreak/>
              <w:t>Individual readers</w:t>
            </w:r>
          </w:p>
        </w:tc>
        <w:tc>
          <w:tcPr>
            <w:tcW w:w="14146" w:type="dxa"/>
          </w:tcPr>
          <w:p w14:paraId="75087BE0" w14:textId="61066021" w:rsidR="00862013" w:rsidRDefault="009B0CBC" w:rsidP="005D2C32">
            <w:r>
              <w:t xml:space="preserve">Children in receipt of the pupil premium will be reading/ discussing books and any gaps in learning to be addressed at the same time. </w:t>
            </w:r>
          </w:p>
        </w:tc>
      </w:tr>
      <w:tr w:rsidR="00862013" w14:paraId="0C2079D3" w14:textId="77777777" w:rsidTr="005D2C32">
        <w:tc>
          <w:tcPr>
            <w:tcW w:w="1271" w:type="dxa"/>
            <w:tcMar>
              <w:top w:w="57" w:type="dxa"/>
              <w:bottom w:w="57" w:type="dxa"/>
            </w:tcMar>
          </w:tcPr>
          <w:p w14:paraId="51027464" w14:textId="77777777" w:rsidR="00862013" w:rsidRDefault="00862013" w:rsidP="005D2C32">
            <w:pPr>
              <w:tabs>
                <w:tab w:val="left" w:pos="75"/>
              </w:tabs>
              <w:rPr>
                <w:b/>
              </w:rPr>
            </w:pPr>
          </w:p>
        </w:tc>
        <w:tc>
          <w:tcPr>
            <w:tcW w:w="14146" w:type="dxa"/>
          </w:tcPr>
          <w:p w14:paraId="6637F78B" w14:textId="77777777" w:rsidR="00862013" w:rsidRDefault="00862013" w:rsidP="005D2C32"/>
        </w:tc>
      </w:tr>
    </w:tbl>
    <w:p w14:paraId="0219DE33" w14:textId="61871638" w:rsidR="00577BAF" w:rsidRDefault="00577BAF"/>
    <w:p w14:paraId="166C469A" w14:textId="52DD36C5" w:rsidR="00E7113B" w:rsidRDefault="00E7113B"/>
    <w:sectPr w:rsidR="00E7113B">
      <w:pgSz w:w="16838" w:h="11906" w:orient="landscape"/>
      <w:pgMar w:top="426" w:right="851" w:bottom="142"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D796" w14:textId="77777777" w:rsidR="004028CF" w:rsidRDefault="004028CF" w:rsidP="00167385">
      <w:r>
        <w:separator/>
      </w:r>
    </w:p>
  </w:endnote>
  <w:endnote w:type="continuationSeparator" w:id="0">
    <w:p w14:paraId="2C946000" w14:textId="77777777" w:rsidR="004028CF" w:rsidRDefault="004028CF" w:rsidP="0016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5001" w14:textId="77777777" w:rsidR="004028CF" w:rsidRDefault="004028CF" w:rsidP="00167385">
      <w:r>
        <w:separator/>
      </w:r>
    </w:p>
  </w:footnote>
  <w:footnote w:type="continuationSeparator" w:id="0">
    <w:p w14:paraId="02D0BB5E" w14:textId="77777777" w:rsidR="004028CF" w:rsidRDefault="004028CF" w:rsidP="00167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148"/>
    <w:multiLevelType w:val="multilevel"/>
    <w:tmpl w:val="BB786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CC4CA0"/>
    <w:multiLevelType w:val="multilevel"/>
    <w:tmpl w:val="BDE45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E6792"/>
    <w:multiLevelType w:val="multilevel"/>
    <w:tmpl w:val="1D70CC6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549D6"/>
    <w:multiLevelType w:val="hybridMultilevel"/>
    <w:tmpl w:val="C3C0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C6E32"/>
    <w:multiLevelType w:val="hybridMultilevel"/>
    <w:tmpl w:val="18ACF0F0"/>
    <w:lvl w:ilvl="0" w:tplc="F524E7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16E0E"/>
    <w:multiLevelType w:val="multilevel"/>
    <w:tmpl w:val="BDE45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006408"/>
    <w:multiLevelType w:val="multilevel"/>
    <w:tmpl w:val="9AB4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D4DEA"/>
    <w:multiLevelType w:val="hybridMultilevel"/>
    <w:tmpl w:val="AA4C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0145D"/>
    <w:multiLevelType w:val="multilevel"/>
    <w:tmpl w:val="D7B24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783380"/>
    <w:multiLevelType w:val="multilevel"/>
    <w:tmpl w:val="C7A4573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B47CBF"/>
    <w:multiLevelType w:val="multilevel"/>
    <w:tmpl w:val="BDE45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291554"/>
    <w:multiLevelType w:val="multilevel"/>
    <w:tmpl w:val="E452A32E"/>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9"/>
  </w:num>
  <w:num w:numId="3">
    <w:abstractNumId w:val="2"/>
  </w:num>
  <w:num w:numId="4">
    <w:abstractNumId w:val="8"/>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 w:numId="10">
    <w:abstractNumId w:val="6"/>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1E"/>
    <w:rsid w:val="00056040"/>
    <w:rsid w:val="00105DB9"/>
    <w:rsid w:val="00115D38"/>
    <w:rsid w:val="00123C3F"/>
    <w:rsid w:val="00167385"/>
    <w:rsid w:val="001A6B19"/>
    <w:rsid w:val="001B4172"/>
    <w:rsid w:val="001C3FA2"/>
    <w:rsid w:val="001F2B64"/>
    <w:rsid w:val="001F753D"/>
    <w:rsid w:val="00212235"/>
    <w:rsid w:val="00262184"/>
    <w:rsid w:val="003D6950"/>
    <w:rsid w:val="004028CF"/>
    <w:rsid w:val="0047448F"/>
    <w:rsid w:val="00484483"/>
    <w:rsid w:val="00533ED6"/>
    <w:rsid w:val="00550BE0"/>
    <w:rsid w:val="005672F6"/>
    <w:rsid w:val="00577BAF"/>
    <w:rsid w:val="00596045"/>
    <w:rsid w:val="00642EDE"/>
    <w:rsid w:val="006549D2"/>
    <w:rsid w:val="00683BCC"/>
    <w:rsid w:val="0075301E"/>
    <w:rsid w:val="00757C99"/>
    <w:rsid w:val="00844437"/>
    <w:rsid w:val="00844770"/>
    <w:rsid w:val="008509DA"/>
    <w:rsid w:val="00851E43"/>
    <w:rsid w:val="00862013"/>
    <w:rsid w:val="008871EC"/>
    <w:rsid w:val="008A522E"/>
    <w:rsid w:val="008E22E5"/>
    <w:rsid w:val="008F7D27"/>
    <w:rsid w:val="009319E7"/>
    <w:rsid w:val="009B0CBC"/>
    <w:rsid w:val="00A34617"/>
    <w:rsid w:val="00B5398E"/>
    <w:rsid w:val="00B970FE"/>
    <w:rsid w:val="00BC260F"/>
    <w:rsid w:val="00BE456C"/>
    <w:rsid w:val="00D26EEB"/>
    <w:rsid w:val="00D42FD7"/>
    <w:rsid w:val="00DB5C8C"/>
    <w:rsid w:val="00E40C34"/>
    <w:rsid w:val="00E44F92"/>
    <w:rsid w:val="00E61DCE"/>
    <w:rsid w:val="00E7113B"/>
    <w:rsid w:val="00F63104"/>
    <w:rsid w:val="00FE69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B892A"/>
  <w15:docId w15:val="{AEFF0608-3F27-45AB-97EE-EA2DF015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F3"/>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3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8140">
      <w:bodyDiv w:val="1"/>
      <w:marLeft w:val="0"/>
      <w:marRight w:val="0"/>
      <w:marTop w:val="0"/>
      <w:marBottom w:val="0"/>
      <w:divBdr>
        <w:top w:val="none" w:sz="0" w:space="0" w:color="auto"/>
        <w:left w:val="none" w:sz="0" w:space="0" w:color="auto"/>
        <w:bottom w:val="none" w:sz="0" w:space="0" w:color="auto"/>
        <w:right w:val="none" w:sz="0" w:space="0" w:color="auto"/>
      </w:divBdr>
    </w:div>
    <w:div w:id="1289624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tutoring.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catch-up-premium-coronavirus-covid-19/the-reception-year-early-language-programme-neli" TargetMode="External"/><Relationship Id="rId4" Type="http://schemas.openxmlformats.org/officeDocument/2006/relationships/settings" Target="settings.xml"/><Relationship Id="rId9" Type="http://schemas.openxmlformats.org/officeDocument/2006/relationships/hyperlink" Target="https://www.gov.uk/guidance/16-to-19-funding-16-to-19-tuit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rossmore</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Bethany Bouckley</cp:lastModifiedBy>
  <cp:revision>2</cp:revision>
  <dcterms:created xsi:type="dcterms:W3CDTF">2022-09-12T14:52:00Z</dcterms:created>
  <dcterms:modified xsi:type="dcterms:W3CDTF">2022-09-12T14:52:00Z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